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br/>
        <w:t xml:space="preserve"> I. Wyjaśnienia operacji przetwarzania danych (art. 4 </w:t>
      </w:r>
      <w:proofErr w:type="spellStart"/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pkt</w:t>
      </w:r>
      <w:proofErr w:type="spellEnd"/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 xml:space="preserve"> 2 RODO)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Przygotowanie do zbierania danych</w:t>
      </w:r>
      <w:r w:rsidRPr="00510B29">
        <w:rPr>
          <w:rFonts w:eastAsia="Times New Roman" w:cs="Tahoma"/>
          <w:sz w:val="24"/>
          <w:szCs w:val="24"/>
          <w:u w:val="single"/>
          <w:lang w:eastAsia="pl-PL"/>
        </w:rPr>
        <w:t> (np. prośba o podanie danych) to NIE przetwarzanie danych.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Czynności faktyczne po usunięciu lub zniszczeniu danych</w:t>
      </w:r>
      <w:r w:rsidRPr="00510B29">
        <w:rPr>
          <w:rFonts w:eastAsia="Times New Roman" w:cs="Tahoma"/>
          <w:sz w:val="24"/>
          <w:szCs w:val="24"/>
          <w:u w:val="single"/>
          <w:lang w:eastAsia="pl-PL"/>
        </w:rPr>
        <w:t> (np. protokół potwierdzający usunięcie danych, gdy nie zawiera danych usuniętych osobowych) to NIE przetwarzanie danych.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Zbieranie </w:t>
      </w:r>
      <w:r w:rsidRPr="00510B29">
        <w:rPr>
          <w:rFonts w:eastAsia="Times New Roman" w:cs="Tahoma"/>
          <w:sz w:val="24"/>
          <w:szCs w:val="24"/>
          <w:lang w:eastAsia="pl-PL"/>
        </w:rPr>
        <w:t>i </w:t>
      </w: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utrwalanie </w:t>
      </w:r>
      <w:r w:rsidRPr="00510B29">
        <w:rPr>
          <w:rFonts w:eastAsia="Times New Roman" w:cs="Tahoma"/>
          <w:sz w:val="24"/>
          <w:szCs w:val="24"/>
          <w:lang w:eastAsia="pl-PL"/>
        </w:rPr>
        <w:t>to operacje na danych osobowych, które prowadzą do ich pozyskania.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sz w:val="24"/>
          <w:szCs w:val="24"/>
          <w:lang w:eastAsia="pl-PL"/>
        </w:rPr>
        <w:t>U</w:t>
      </w:r>
      <w:r w:rsidRPr="00510B29">
        <w:rPr>
          <w:rFonts w:eastAsia="Times New Roman" w:cs="Tahoma"/>
          <w:b/>
          <w:bCs/>
          <w:sz w:val="24"/>
          <w:szCs w:val="24"/>
          <w:shd w:val="clear" w:color="auto" w:fill="FFFFFF"/>
          <w:lang w:eastAsia="pl-PL"/>
        </w:rPr>
        <w:t>trwalanie:</w:t>
      </w:r>
      <w:r w:rsidRPr="00510B29">
        <w:rPr>
          <w:rFonts w:eastAsia="Times New Roman" w:cs="Tahoma"/>
          <w:sz w:val="24"/>
          <w:szCs w:val="24"/>
          <w:shd w:val="clear" w:color="auto" w:fill="FFFFFF"/>
          <w:lang w:eastAsia="pl-PL"/>
        </w:rPr>
        <w:t> zarejestrowanie lub zapisanie danych osobowych na dowolnym nośniku danych (np. papier, pamięć serwera, płyta CD, karta pamięci lub pamięć USB).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sz w:val="24"/>
          <w:szCs w:val="24"/>
          <w:lang w:eastAsia="pl-PL"/>
        </w:rPr>
        <w:t>Utrwalaniem NIE jest </w:t>
      </w: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przenoszenie utrwalonych </w:t>
      </w:r>
      <w:r w:rsidRPr="00510B29">
        <w:rPr>
          <w:rFonts w:eastAsia="Times New Roman" w:cs="Tahoma"/>
          <w:sz w:val="24"/>
          <w:szCs w:val="24"/>
          <w:lang w:eastAsia="pl-PL"/>
        </w:rPr>
        <w:t>już danych osobowych na inny nośnik, bo to będzie inna operacja na danych osobowych, np. ich pobieranie.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Zbieranie:</w:t>
      </w:r>
      <w:r w:rsidRPr="00510B29">
        <w:rPr>
          <w:rFonts w:eastAsia="Times New Roman" w:cs="Tahoma"/>
          <w:sz w:val="24"/>
          <w:szCs w:val="24"/>
          <w:lang w:eastAsia="pl-PL"/>
        </w:rPr>
        <w:t> wszystkie inne niż utrwalenie postaci pozyskiwania danych osobowych: sytuacje, gdy dane osobowe są pozyskiwane od podmiotu danych lub innej osoby na dostarczonym przez nie nośniku, lub wprowadzenie ich na nośnik udostępniony przez administratora lub podmiot przetwarzający: pozyskiwanie wypełnionych formularzy papierowych z danymi osobowymi, zbieranie formularzy elektronicznych wypełnianych przez podmiot danych na stronie WWW, w aplikacji mobilnej czy udostępnionym urządzeniu w punkcie stacjonarnym.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Organizowanie i porządkowanie:</w:t>
      </w:r>
      <w:r w:rsidRPr="00510B29">
        <w:rPr>
          <w:rFonts w:eastAsia="Times New Roman" w:cs="Tahoma"/>
          <w:sz w:val="24"/>
          <w:szCs w:val="24"/>
          <w:lang w:eastAsia="pl-PL"/>
        </w:rPr>
        <w:t> z założenia powinny pozwalać na usprawnienie przyszłego przetwarzania (nieistotne, czy to zostanie osiągnięte).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Porządkowanie: </w:t>
      </w:r>
      <w:r w:rsidRPr="00510B29">
        <w:rPr>
          <w:rFonts w:eastAsia="Times New Roman" w:cs="Tahoma"/>
          <w:sz w:val="24"/>
          <w:szCs w:val="24"/>
          <w:lang w:eastAsia="pl-PL"/>
        </w:rPr>
        <w:t>nadawanie posiadanym danym osobowym struktury w oparciu o określone, dowolnie wybrane kryteria, np. porządek alfabetyczny.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Organizowanie</w:t>
      </w:r>
      <w:r w:rsidRPr="00510B29">
        <w:rPr>
          <w:rFonts w:eastAsia="Times New Roman" w:cs="Tahoma"/>
          <w:sz w:val="24"/>
          <w:szCs w:val="24"/>
          <w:lang w:eastAsia="pl-PL"/>
        </w:rPr>
        <w:t xml:space="preserve">: każda (inna niż porządkowanie) operacja lub zestaw operacji na danych osobowych, które mają prowadzić do usprawnienia przetwarzania, np. ulepszenie mechanizmu wyszukiwania danych osobowych poprzez dodanie do nich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tagów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>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Przechowywanie: </w:t>
      </w:r>
      <w:r w:rsidRPr="00510B29">
        <w:rPr>
          <w:rFonts w:eastAsia="Times New Roman" w:cs="Tahoma"/>
          <w:sz w:val="24"/>
          <w:szCs w:val="24"/>
          <w:lang w:eastAsia="pl-PL"/>
        </w:rPr>
        <w:t>przetrzymywanie danych osobowych na dowolnym nośniku danych (papier, twardy dysk, pamięć USB, karta pamięci, płyta CD, umieszczenie danych w tzw. chmurze), które muszą być na nim zapisane albo utrwalone w taki sposób, by w przyszłości można było je odczytać.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Modyfikowanie: </w:t>
      </w:r>
      <w:r w:rsidRPr="00510B29">
        <w:rPr>
          <w:rFonts w:eastAsia="Times New Roman" w:cs="Tahoma"/>
          <w:sz w:val="24"/>
          <w:szCs w:val="24"/>
          <w:lang w:eastAsia="pl-PL"/>
        </w:rPr>
        <w:t xml:space="preserve">każda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zmiana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 treści danych osobowych.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Adaptowanie: 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zmiana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 treści zmierzająca do dopasowania danych osobowych do zmieniających się okoliczności, np.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zmiana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 wieku człowieka związana z upływem czasu, uaktualnienie informacji o uzyskiwanych przez podmiot danych dochodach,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zmiana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 jego imienia lub nazwiska.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lastRenderedPageBreak/>
        <w:t>Poprawienie błędnej treści </w:t>
      </w:r>
      <w:r w:rsidRPr="00510B29">
        <w:rPr>
          <w:rFonts w:eastAsia="Times New Roman" w:cs="Tahoma"/>
          <w:sz w:val="24"/>
          <w:szCs w:val="24"/>
          <w:lang w:eastAsia="pl-PL"/>
        </w:rPr>
        <w:t>danych na właściwą to NIE adaptowanie, lecz modyfikowanie danych osobowych.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Pobieranie: </w:t>
      </w:r>
      <w:r w:rsidRPr="00510B29">
        <w:rPr>
          <w:rFonts w:eastAsia="Times New Roman" w:cs="Tahoma"/>
          <w:sz w:val="24"/>
          <w:szCs w:val="24"/>
          <w:lang w:eastAsia="pl-PL"/>
        </w:rPr>
        <w:t>wykonanie kopii danych osobowych na nośniku poprzez ich transmisję z wykorzystaniem sieci telekomunikacyjnej z innego nośnika.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Przeglądanie: </w:t>
      </w:r>
      <w:r w:rsidRPr="00510B29">
        <w:rPr>
          <w:rFonts w:eastAsia="Times New Roman" w:cs="Tahoma"/>
          <w:sz w:val="24"/>
          <w:szCs w:val="24"/>
          <w:lang w:eastAsia="pl-PL"/>
        </w:rPr>
        <w:t>zapoznawanie się z treścią danych osobowych jedna po drugiej.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Wykorzystywanie: </w:t>
      </w:r>
      <w:r w:rsidRPr="00510B29">
        <w:rPr>
          <w:rFonts w:eastAsia="Times New Roman" w:cs="Tahoma"/>
          <w:sz w:val="24"/>
          <w:szCs w:val="24"/>
          <w:lang w:eastAsia="pl-PL"/>
        </w:rPr>
        <w:t>uczynienie określonych informacji jawnymi;</w:t>
      </w: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 każda</w:t>
      </w:r>
      <w:r w:rsidRPr="00510B29">
        <w:rPr>
          <w:rFonts w:eastAsia="Times New Roman" w:cs="Tahoma"/>
          <w:sz w:val="24"/>
          <w:szCs w:val="24"/>
          <w:lang w:eastAsia="pl-PL"/>
        </w:rPr>
        <w:t> forma użycia danych osobowych do określonego celu.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Ujawnienie:</w:t>
      </w:r>
      <w:r w:rsidRPr="00510B29">
        <w:rPr>
          <w:rFonts w:eastAsia="Times New Roman" w:cs="Tahoma"/>
          <w:sz w:val="24"/>
          <w:szCs w:val="24"/>
          <w:lang w:eastAsia="pl-PL"/>
        </w:rPr>
        <w:t> </w:t>
      </w: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przesłanie</w:t>
      </w:r>
      <w:r w:rsidRPr="00510B29">
        <w:rPr>
          <w:rFonts w:eastAsia="Times New Roman" w:cs="Tahoma"/>
          <w:sz w:val="24"/>
          <w:szCs w:val="24"/>
          <w:lang w:eastAsia="pl-PL"/>
        </w:rPr>
        <w:t>, </w:t>
      </w: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rozpowszechnienie </w:t>
      </w:r>
      <w:r w:rsidRPr="00510B29">
        <w:rPr>
          <w:rFonts w:eastAsia="Times New Roman" w:cs="Tahoma"/>
          <w:sz w:val="24"/>
          <w:szCs w:val="24"/>
          <w:lang w:eastAsia="pl-PL"/>
        </w:rPr>
        <w:t xml:space="preserve">(publiczne udostępnienie danych osobowych np. na ogólnodostępnej stronie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www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>) lub innego rodzaju </w:t>
      </w: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udostępnienie.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Efekt udostępnienia: </w:t>
      </w:r>
      <w:r w:rsidRPr="00510B29">
        <w:rPr>
          <w:rFonts w:eastAsia="Times New Roman" w:cs="Tahoma"/>
          <w:sz w:val="24"/>
          <w:szCs w:val="24"/>
          <w:lang w:eastAsia="pl-PL"/>
        </w:rPr>
        <w:t>dane osobowe mogą być poznane przez inne osoby, które do tej pory ich nie znały.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Dopasowywanie: </w:t>
      </w:r>
      <w:r w:rsidRPr="00510B29">
        <w:rPr>
          <w:rFonts w:eastAsia="Times New Roman" w:cs="Tahoma"/>
          <w:sz w:val="24"/>
          <w:szCs w:val="24"/>
          <w:lang w:eastAsia="pl-PL"/>
        </w:rPr>
        <w:t>weryfikacja, czy w rożnych zbiorach danych występują te same dane lub czy są one ze sobą spójne.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Łączenie: </w:t>
      </w:r>
      <w:r w:rsidRPr="00510B29">
        <w:rPr>
          <w:rFonts w:eastAsia="Times New Roman" w:cs="Tahoma"/>
          <w:sz w:val="24"/>
          <w:szCs w:val="24"/>
          <w:lang w:eastAsia="pl-PL"/>
        </w:rPr>
        <w:t>może ono polegać na scaleniu ze sobą danych osobowych dotyczących jednego podmiotu danych, a pochodzących z rożnych źródeł lub na zestawieniu ze sobą informacji o większej liczbie podmiotów danych w oparciu o określoną cechę.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Ograniczenie </w:t>
      </w:r>
      <w:r w:rsidRPr="00510B29">
        <w:rPr>
          <w:rFonts w:eastAsia="Times New Roman" w:cs="Tahoma"/>
          <w:sz w:val="24"/>
          <w:szCs w:val="24"/>
          <w:lang w:eastAsia="pl-PL"/>
        </w:rPr>
        <w:t>przetwarzania: oznaczenie przechowywanych danych osobowych w celu ograniczenia ich przyszłego przetwarzania.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Usuwanie: </w:t>
      </w:r>
      <w:r w:rsidRPr="00510B29">
        <w:rPr>
          <w:rFonts w:eastAsia="Times New Roman" w:cs="Tahoma"/>
          <w:sz w:val="24"/>
          <w:szCs w:val="24"/>
          <w:lang w:eastAsia="pl-PL"/>
        </w:rPr>
        <w:t>kasowanie danych osobowych z nośnika, powinno ono nastąpić z wykorzystaniem takiego rozwiązania, które uniemożliwia odzyskanie tych danych osobowych (czyli np. wymazanie z twardego dysku, a nie tylko skasowanie).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Niszczenie: </w:t>
      </w:r>
      <w:r w:rsidRPr="00510B29">
        <w:rPr>
          <w:rFonts w:eastAsia="Times New Roman" w:cs="Tahoma"/>
          <w:sz w:val="24"/>
          <w:szCs w:val="24"/>
          <w:lang w:eastAsia="pl-PL"/>
        </w:rPr>
        <w:t>fizyczna destrukcja nośnika danych, na którym znajdują się dane osobowe, także zniszczenie części nośnika z danymi osobowymi (np. wycięcie fragmentu dokumentu i jego wprowadzenie do niszczarki albo zamazanie danych osobowych znajdujących się na części dokumentu w sposób uniemożliwiający ich dalsze przetwarzanie), fizyczne uszkodzenie nośnika takiego jak twardy dysk lub pamięć przenośna w taki sposób, że nie będzie można odtworzyć zapisanych na nich danych osobowych.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b/>
          <w:bCs/>
          <w:sz w:val="24"/>
          <w:szCs w:val="24"/>
          <w:lang w:eastAsia="pl-PL"/>
        </w:rPr>
        <w:t> Źródło: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sz w:val="24"/>
          <w:szCs w:val="24"/>
          <w:lang w:eastAsia="pl-PL"/>
        </w:rPr>
        <w:t xml:space="preserve">Witold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Chomiczewski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: Artykuł 4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pkt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 2 Przetwarzanie. </w:t>
      </w:r>
      <w:r w:rsidRPr="00510B29">
        <w:rPr>
          <w:rFonts w:eastAsia="Times New Roman" w:cs="Tahoma"/>
          <w:i/>
          <w:iCs/>
          <w:sz w:val="24"/>
          <w:szCs w:val="24"/>
          <w:lang w:eastAsia="pl-PL"/>
        </w:rPr>
        <w:t>[w]:</w:t>
      </w:r>
      <w:r w:rsidRPr="00510B29">
        <w:rPr>
          <w:rFonts w:eastAsia="Times New Roman" w:cs="Tahoma"/>
          <w:sz w:val="24"/>
          <w:szCs w:val="24"/>
          <w:lang w:eastAsia="pl-PL"/>
        </w:rPr>
        <w:t xml:space="preserve"> RODO. Ogólne Rozporządzenie o Ochronie Danych. Komentarz. red. nauk: E.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Bielak-Jomaa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, D. Lubasz,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Wolters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 </w:t>
      </w:r>
      <w:proofErr w:type="spellStart"/>
      <w:r w:rsidRPr="00510B29">
        <w:rPr>
          <w:rFonts w:eastAsia="Times New Roman" w:cs="Tahoma"/>
          <w:sz w:val="24"/>
          <w:szCs w:val="24"/>
          <w:lang w:eastAsia="pl-PL"/>
        </w:rPr>
        <w:t>Kluwer</w:t>
      </w:r>
      <w:proofErr w:type="spellEnd"/>
      <w:r w:rsidRPr="00510B29">
        <w:rPr>
          <w:rFonts w:eastAsia="Times New Roman" w:cs="Tahoma"/>
          <w:sz w:val="24"/>
          <w:szCs w:val="24"/>
          <w:lang w:eastAsia="pl-PL"/>
        </w:rPr>
        <w:t xml:space="preserve"> Warszawa 2018 r. ss. 186-199.</w:t>
      </w:r>
    </w:p>
    <w:p w:rsidR="007F15F5" w:rsidRPr="00510B29" w:rsidRDefault="007F15F5" w:rsidP="007F15F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510B29">
        <w:rPr>
          <w:rFonts w:eastAsia="Times New Roman" w:cs="Tahoma"/>
          <w:sz w:val="24"/>
          <w:szCs w:val="24"/>
          <w:lang w:eastAsia="pl-PL"/>
        </w:rPr>
        <w:t> </w:t>
      </w:r>
    </w:p>
    <w:p w:rsidR="007E095A" w:rsidRPr="00510B29" w:rsidRDefault="007E095A">
      <w:pPr>
        <w:rPr>
          <w:sz w:val="24"/>
          <w:szCs w:val="24"/>
        </w:rPr>
      </w:pPr>
    </w:p>
    <w:sectPr w:rsidR="007E095A" w:rsidRPr="00510B29" w:rsidSect="007E09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8C" w:rsidRDefault="002F278C" w:rsidP="00510B29">
      <w:pPr>
        <w:spacing w:after="0" w:line="240" w:lineRule="auto"/>
      </w:pPr>
      <w:r>
        <w:separator/>
      </w:r>
    </w:p>
  </w:endnote>
  <w:endnote w:type="continuationSeparator" w:id="0">
    <w:p w:rsidR="002F278C" w:rsidRDefault="002F278C" w:rsidP="0051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8C" w:rsidRDefault="002F278C" w:rsidP="00510B29">
      <w:pPr>
        <w:spacing w:after="0" w:line="240" w:lineRule="auto"/>
      </w:pPr>
      <w:r>
        <w:separator/>
      </w:r>
    </w:p>
  </w:footnote>
  <w:footnote w:type="continuationSeparator" w:id="0">
    <w:p w:rsidR="002F278C" w:rsidRDefault="002F278C" w:rsidP="0051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29" w:rsidRDefault="00510B29" w:rsidP="00510B2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6835" cy="641350"/>
          <wp:effectExtent l="19050" t="0" r="3715" b="0"/>
          <wp:docPr id="1" name="Obraz 0" descr="big_nowe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_nowe-logo-p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83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F15F5"/>
    <w:rsid w:val="001F7E74"/>
    <w:rsid w:val="002F278C"/>
    <w:rsid w:val="00510B29"/>
    <w:rsid w:val="00625E04"/>
    <w:rsid w:val="007E095A"/>
    <w:rsid w:val="007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5F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1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0B29"/>
  </w:style>
  <w:style w:type="paragraph" w:styleId="Stopka">
    <w:name w:val="footer"/>
    <w:basedOn w:val="Normalny"/>
    <w:link w:val="StopkaZnak"/>
    <w:uiPriority w:val="99"/>
    <w:semiHidden/>
    <w:unhideWhenUsed/>
    <w:rsid w:val="0051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0B29"/>
  </w:style>
  <w:style w:type="paragraph" w:styleId="Tekstdymka">
    <w:name w:val="Balloon Text"/>
    <w:basedOn w:val="Normalny"/>
    <w:link w:val="TekstdymkaZnak"/>
    <w:uiPriority w:val="99"/>
    <w:semiHidden/>
    <w:unhideWhenUsed/>
    <w:rsid w:val="0051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3803</Characters>
  <Application>Microsoft Office Word</Application>
  <DocSecurity>0</DocSecurity>
  <Lines>31</Lines>
  <Paragraphs>8</Paragraphs>
  <ScaleCrop>false</ScaleCrop>
  <Company>PWSZ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2</cp:revision>
  <dcterms:created xsi:type="dcterms:W3CDTF">2019-07-12T08:35:00Z</dcterms:created>
  <dcterms:modified xsi:type="dcterms:W3CDTF">2019-07-12T08:35:00Z</dcterms:modified>
</cp:coreProperties>
</file>